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NIS2 Agile</w:t>
      </w:r>
    </w:p>
    <w:p>
      <w:pPr>
        <w:pStyle w:val="Subtitle"/>
      </w:pPr>
      <w:r>
        <w:t xml:space="preserve">Manuale d'uso del prodotto</w:t>
      </w:r>
    </w:p>
    <w:p>
      <w:pPr>
        <w:pStyle w:val="Meta"/>
      </w:pPr>
      <w:r>
        <w:t xml:space="preserve">Versione piattaforma 1.14.0 · Aggiornato all'11 giugno 2026</w:t>
      </w:r>
    </w:p>
    <w:p>
      <w:pPr>
        <w:pStyle w:val="Heading1"/>
      </w:pPr>
      <w:r>
        <w:t xml:space="preserve">Indice dei contenuti</w:t>
      </w:r>
    </w:p>
    <w:p>
      <w:r>
        <w:t xml:space="preserve">1. Introduzione</w:t>
      </w:r>
    </w:p>
    <w:p>
      <w:r>
        <w:t xml:space="preserve">2. Primi passi (accesso, registrazione, onboarding)</w:t>
      </w:r>
    </w:p>
    <w:p>
      <w:r>
        <w:t xml:space="preserve">3. Dashboard</w:t>
      </w:r>
    </w:p>
    <w:p>
      <w:r>
        <w:t xml:space="preserve">4. Gap Analysis NIS2 (Art. 21)</w:t>
      </w:r>
    </w:p>
    <w:p>
      <w:r>
        <w:t xml:space="preserve">5. Gap Analysis ACN (Determinazione 164179/2025)</w:t>
      </w:r>
    </w:p>
    <w:p>
      <w:r>
        <w:t xml:space="preserve">6. Modello Organizzativo SGSI (ISO 27001/27017/27018)</w:t>
      </w:r>
    </w:p>
    <w:p>
      <w:r>
        <w:t xml:space="preserve">7. Gestione dei Rischi</w:t>
      </w:r>
    </w:p>
    <w:p>
      <w:r>
        <w:t xml:space="preserve">8. Gestione degli Incidenti (Art. 23)</w:t>
      </w:r>
    </w:p>
    <w:p>
      <w:r>
        <w:t xml:space="preserve">9. Policy e procedure</w:t>
      </w:r>
    </w:p>
    <w:p>
      <w:r>
        <w:t xml:space="preserve">10. Supply Chain (fornitori)</w:t>
      </w:r>
    </w:p>
    <w:p>
      <w:r>
        <w:t xml:space="preserve">11. Formazione</w:t>
      </w:r>
    </w:p>
    <w:p>
      <w:r>
        <w:t xml:space="preserve">12. Asset</w:t>
      </w:r>
    </w:p>
    <w:p>
      <w:r>
        <w:t xml:space="preserve">13. Audit &amp; Report</w:t>
      </w:r>
    </w:p>
    <w:p>
      <w:r>
        <w:t xml:space="preserve">14. Whistleblowing (Art. 32)</w:t>
      </w:r>
    </w:p>
    <w:p>
      <w:r>
        <w:t xml:space="preserve">15. Aggiornamenti normativi</w:t>
      </w:r>
    </w:p>
    <w:p>
      <w:r>
        <w:t xml:space="preserve">16. Knowledge Base e Assistente AI</w:t>
      </w:r>
    </w:p>
    <w:p>
      <w:r>
        <w:t xml:space="preserve">17. Segnalazioni (feedback)</w:t>
      </w:r>
    </w:p>
    <w:p>
      <w:r>
        <w:t xml:space="preserve">18. Impostazioni</w:t>
      </w:r>
    </w:p>
    <w:p>
      <w:r>
        <w:t xml:space="preserve">19. Amministrazione</w:t>
      </w:r>
    </w:p>
    <w:p>
      <w:r>
        <w:t xml:space="preserve">20. Integrazioni e API</w:t>
      </w:r>
    </w:p>
    <w:p>
      <w:r>
        <w:t xml:space="preserve">21. Glossario</w:t>
      </w:r>
    </w:p>
    <w:p>
      <w:r>
        <w:t xml:space="preserve">22. Riferimenti normativi</w:t>
      </w:r>
    </w:p>
    <w:p>
      <w:r>
        <w:br w:type="page"/>
      </w:r>
    </w:p>
    <w:p>
      <w:pPr>
        <w:pStyle w:val="Heading1"/>
      </w:pPr>
      <w:r>
        <w:t xml:space="preserve">1. Introduzione</w:t>
      </w:r>
    </w:p>
    <w:p>
      <w:pPr>
        <w:pStyle w:val="Heading2"/>
      </w:pPr>
      <w:r>
        <w:t xml:space="preserve">1.1 Che cos'è NIS2 Agile</w:t>
      </w:r>
    </w:p>
    <w:p>
      <w:r>
        <w:t xml:space="preserve">NIS2 Agile è una piattaforma SaaS multi-tenant che supporta le aziende nel percorso di conformità alla </w:t>
      </w:r>
      <w:r>
        <w:rPr>
          <w:b/>
        </w:rPr>
        <w:t xml:space="preserve">Direttiva (UE) 2022/2555 (NIS2)</w:t>
      </w:r>
      <w:r>
        <w:t xml:space="preserve"> e al suo recepimento italiano (</w:t>
      </w:r>
      <w:r>
        <w:rPr>
          <w:b/>
        </w:rPr>
        <w:t xml:space="preserve">D.Lgs. 138/2024</w:t>
      </w:r>
      <w:r>
        <w:t xml:space="preserve">), comprese le </w:t>
      </w:r>
      <w:r>
        <w:rPr>
          <w:b/>
        </w:rPr>
        <w:t xml:space="preserve">Determinazioni dell'Agenzia per la Cybersicurezza Nazionale (ACN)</w:t>
      </w:r>
      <w:r>
        <w:t xml:space="preserve">. Integra l'intelligenza artificiale (Claude) per gap analysis, generazione di policy, classificazione degli incidenti e suggerimento dei rischi.</w:t>
      </w:r>
    </w:p>
    <w:p>
      <w:r>
        <w:t xml:space="preserve">Dalla versione 1.14.0 la piattaforma include anche un modulo guidato per la costruzione del </w:t>
      </w:r>
      <w:r>
        <w:rPr>
          <w:b/>
        </w:rPr>
        <w:t xml:space="preserve">Modello Organizzativo SGSI secondo ISO/IEC 27001:2022</w:t>
      </w:r>
      <w:r>
        <w:t xml:space="preserve">, con estensioni cloud ISO/IEC 27017:2015 e 27018:2019.</w:t>
      </w:r>
    </w:p>
    <w:p>
      <w:pPr>
        <w:pStyle w:val="Heading2"/>
      </w:pPr>
      <w:r>
        <w:t xml:space="preserve">1.2 A chi è rivolto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PMI</w:t>
      </w:r>
      <w:r>
        <w:t xml:space="preserve"> che devono adeguarsi agli obblighi NIS2 con risorse limitate;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Grandi imprese / Enterprise</w:t>
      </w:r>
      <w:r>
        <w:t xml:space="preserve"> con processi di compliance strutturati;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Consulenti e CISO</w:t>
      </w:r>
      <w:r>
        <w:t xml:space="preserve"> che gestiscono più organizzazioni clienti tramite uno studio (consulting firm).</w:t>
      </w:r>
    </w:p>
    <w:p>
      <w:pPr>
        <w:pStyle w:val="Heading2"/>
      </w:pPr>
      <w:r>
        <w:t xml:space="preserve">1.3 Quadro normativo di riferimento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Fonte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Ruolo</w:t>
            </w:r>
          </w:p>
        </w:tc>
      </w:tr>
      <w:tr>
        <w:tc>
          <w:tcPr>
            <w:tcW w:w="0" w:type="auto"/>
          </w:tcPr>
          <w:p>
            <w:r>
              <w:t xml:space="preserve">Direttiva (UE) 2022/2555 (NIS2)</w:t>
            </w:r>
          </w:p>
        </w:tc>
        <w:tc>
          <w:tcPr>
            <w:tcW w:w="0" w:type="auto"/>
          </w:tcPr>
          <w:p>
            <w:r>
              <w:t xml:space="preserve">Principi e obblighi europei di cibersicurezza</w:t>
            </w:r>
          </w:p>
        </w:tc>
      </w:tr>
      <w:tr>
        <w:tc>
          <w:tcPr>
            <w:tcW w:w="0" w:type="auto"/>
          </w:tcPr>
          <w:p>
            <w:r>
              <w:t xml:space="preserve">D.Lgs. 138/2024</w:t>
            </w:r>
          </w:p>
        </w:tc>
        <w:tc>
          <w:tcPr>
            <w:tcW w:w="0" w:type="auto"/>
          </w:tcPr>
          <w:p>
            <w:r>
              <w:t xml:space="preserve">Recepimento italiano della NIS2 (obblighi operativi)</w:t>
            </w:r>
          </w:p>
        </w:tc>
      </w:tr>
      <w:tr>
        <w:tc>
          <w:tcPr>
            <w:tcW w:w="0" w:type="auto"/>
          </w:tcPr>
          <w:p>
            <w:r>
              <w:t xml:space="preserve">Determinazione ACN 164179/2025</w:t>
            </w:r>
          </w:p>
        </w:tc>
        <w:tc>
          <w:tcPr>
            <w:tcW w:w="0" w:type="auto"/>
          </w:tcPr>
          <w:p>
            <w:r>
              <w:t xml:space="preserve">Misure di sicurezza di base, classificazione e notifica incidenti (Allegati)</w:t>
            </w:r>
          </w:p>
        </w:tc>
      </w:tr>
      <w:tr>
        <w:tc>
          <w:tcPr>
            <w:tcW w:w="0" w:type="auto"/>
          </w:tcPr>
          <w:p>
            <w:r>
              <w:t xml:space="preserve">ISO/IEC 27001:2022</w:t>
            </w:r>
          </w:p>
        </w:tc>
        <w:tc>
          <w:tcPr>
            <w:tcW w:w="0" w:type="auto"/>
          </w:tcPr>
          <w:p>
            <w:r>
              <w:t xml:space="preserve">Requisiti del Sistema di Gestione della Sicurezza delle Informazioni (best practice)</w:t>
            </w:r>
          </w:p>
        </w:tc>
      </w:tr>
      <w:tr>
        <w:tc>
          <w:tcPr>
            <w:tcW w:w="0" w:type="auto"/>
          </w:tcPr>
          <w:p>
            <w:r>
              <w:t xml:space="preserve">ISO/IEC 27017:2015 / 27018:2019</w:t>
            </w:r>
          </w:p>
        </w:tc>
        <w:tc>
          <w:tcPr>
            <w:tcW w:w="0" w:type="auto"/>
          </w:tcPr>
          <w:p>
            <w:r>
              <w:t xml:space="preserve">Controlli per servizi cloud / protezione PII in cloud (best practice)</w:t>
            </w:r>
          </w:p>
        </w:tc>
      </w:tr>
    </w:tbl>
    <w:p/>
    <w:p>
      <w:pPr>
        <w:pStyle w:val="Note"/>
      </w:pPr>
      <w:r>
        <w:t xml:space="preserve">Disclaimer: NIS2 Agile è uno strumento di supporto operativo e pre-audit. Non costituisce consulenza legale né parere professionale vincolante, e non rilascia certificazioni ISO. Le valutazioni proposte (perimetro, applicabilità, significatività) vanno confermate con il referente compliance/legale dell'organizzazione.</w:t>
      </w:r>
    </w:p>
    <w:p>
      <w:r>
        <w:br w:type="page"/>
      </w:r>
    </w:p>
    <w:p>
      <w:pPr>
        <w:pStyle w:val="Heading1"/>
      </w:pPr>
      <w:r>
        <w:t xml:space="preserve">2. Primi passi</w:t>
      </w:r>
    </w:p>
    <w:p>
      <w:pPr>
        <w:pStyle w:val="Heading2"/>
      </w:pPr>
      <w:r>
        <w:t xml:space="preserve">2.1 Accesso e indirizzo</w:t>
      </w:r>
    </w:p>
    <w:p>
      <w:r>
        <w:t xml:space="preserve">La piattaforma è raggiungibile all'indirizzo </w:t>
      </w:r>
      <w:r>
        <w:rPr>
          <w:b/>
        </w:rPr>
        <w:t xml:space="preserve">https://nis2.agile.software/</w:t>
      </w:r>
      <w:r>
        <w:t xml:space="preserve">. L'accesso avviene con email e password (autenticazione JWT). Se la tua organizzazione usa il Single Sign-On centralizzato (AgileHub), le credenziali sono condivise tra i prodotti della suite.</w:t>
      </w:r>
    </w:p>
    <w:p>
      <w:pPr>
        <w:pStyle w:val="Heading2"/>
      </w:pPr>
      <w:r>
        <w:t xml:space="preserve">2.2 Registrazione</w:t>
      </w:r>
    </w:p>
    <w:p>
      <w:pPr>
        <w:pStyle w:val="ListParagraph"/>
        <w:numPr>
          <w:ilvl w:val="0"/>
          <w:numId w:val="2"/>
        </w:numPr>
      </w:pPr>
      <w:r>
        <w:t xml:space="preserve">Apri la pagina di </w:t>
      </w:r>
      <w:r>
        <w:rPr>
          <w:b/>
        </w:rPr>
        <w:t xml:space="preserve">Registrazione</w:t>
      </w:r>
      <w:r>
        <w:t xml:space="preserve"> e inserisci i dati richiesti (email, password conforme alla policy di sicurezza).</w:t>
      </w:r>
    </w:p>
    <w:p>
      <w:pPr>
        <w:pStyle w:val="ListParagraph"/>
        <w:numPr>
          <w:ilvl w:val="0"/>
          <w:numId w:val="2"/>
        </w:numPr>
      </w:pPr>
      <w:r>
        <w:t xml:space="preserve">Al termine vieni indirizzato automaticamente alla procedura di </w:t>
      </w:r>
      <w:r>
        <w:rPr>
          <w:b/>
        </w:rPr>
        <w:t xml:space="preserve">onboarding</w:t>
      </w:r>
      <w:r>
        <w:t xml:space="preserve"> aziendale.</w:t>
      </w:r>
    </w:p>
    <w:p>
      <w:pPr>
        <w:pStyle w:val="ListParagraph"/>
        <w:numPr>
          <w:ilvl w:val="0"/>
          <w:numId w:val="2"/>
        </w:numPr>
      </w:pPr>
      <w:r>
        <w:t xml:space="preserve">Se possiedi un </w:t>
      </w:r>
      <w:r>
        <w:rPr>
          <w:b/>
        </w:rPr>
        <w:t xml:space="preserve">invito/licenza</w:t>
      </w:r>
      <w:r>
        <w:t xml:space="preserve"> (token `inv_...`) fornito da un partner, inseriscilo per attivare l'organizzazione pre-configurata.</w:t>
      </w:r>
    </w:p>
    <w:p>
      <w:pPr>
        <w:pStyle w:val="Heading2"/>
      </w:pPr>
      <w:r>
        <w:t xml:space="preserve">2.3 Recupero password</w:t>
      </w:r>
    </w:p>
    <w:p>
      <w:r>
        <w:t xml:space="preserve">Dalla pagina di login usa </w:t>
      </w:r>
      <w:r>
        <w:rPr>
          <w:b/>
        </w:rPr>
        <w:t xml:space="preserve">Password dimenticata</w:t>
      </w:r>
      <w:r>
        <w:t xml:space="preserve"> per ricevere un link di reset via email. Il cambio password effettuato da AgileHub si propaga automaticamente entro pochi minuti grazie al sync SSO.</w:t>
      </w:r>
    </w:p>
    <w:p>
      <w:pPr>
        <w:pStyle w:val="Heading2"/>
      </w:pPr>
      <w:r>
        <w:t xml:space="preserve">2.4 Onboarding dell'organizzazione</w:t>
      </w:r>
    </w:p>
    <w:p>
      <w:r>
        <w:t xml:space="preserve">Il wizard di onboarding crea l'organizzazione e ne determina la classificazione NIS2. Si articola in quattro passi: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Dati azienda</w:t>
      </w:r>
      <w:r>
        <w:t xml:space="preserve"> — inserimento manuale oppure precompilazione tramite </w:t>
      </w:r>
      <w:r>
        <w:rPr>
          <w:b/>
        </w:rPr>
        <w:t xml:space="preserve">Partita IVA</w:t>
      </w:r>
      <w:r>
        <w:t xml:space="preserve"> (lookup automatico) o caricamento della </w:t>
      </w:r>
      <w:r>
        <w:rPr>
          <w:b/>
        </w:rPr>
        <w:t xml:space="preserve">visura camerale</w:t>
      </w:r>
      <w:r>
        <w:t xml:space="preserve"> (estrazione AI dei dati).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Verifica e completamento</w:t>
      </w:r>
      <w:r>
        <w:t xml:space="preserve"> — settore (ATECO → settore NIS2), numero dipendenti, fatturato, sede, contatti.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Profilo utente</w:t>
      </w:r>
      <w:r>
        <w:t xml:space="preserve"> — nome, ruolo, telefono.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 xml:space="preserve">Classificazione NIS2</w:t>
      </w:r>
      <w:r>
        <w:t xml:space="preserve"> — la piattaforma propone se il soggetto è </w:t>
      </w:r>
      <w:r>
        <w:rPr>
          <w:b/>
        </w:rPr>
        <w:t xml:space="preserve">essenziale</w:t>
      </w:r>
      <w:r>
        <w:t xml:space="preserve">, </w:t>
      </w:r>
      <w:r>
        <w:rPr>
          <w:b/>
        </w:rPr>
        <w:t xml:space="preserve">importante</w:t>
      </w:r>
      <w:r>
        <w:t xml:space="preserve"> o </w:t>
      </w:r>
      <w:r>
        <w:rPr>
          <w:b/>
        </w:rPr>
        <w:t xml:space="preserve">non applicabile</w:t>
      </w:r>
      <w:r>
        <w:t xml:space="preserve"> in base a settore e dimensione; è possibile aderire volontariamente.</w:t>
      </w:r>
    </w:p>
    <w:p>
      <w:pPr>
        <w:pStyle w:val="Note"/>
      </w:pPr>
      <w:r>
        <w:t xml:space="preserve">La classificazione (essenziale/importante) determina il perimetro applicabile in più moduli, in particolare la Gap Analysis ACN e gli obblighi sugli incidenti. Puoi rivederla in Impostazioni › Classificazione NIS2.</w:t>
      </w:r>
    </w:p>
    <w:p>
      <w:pPr>
        <w:pStyle w:val="Heading2"/>
      </w:pPr>
      <w:r>
        <w:t xml:space="preserve">2.5 Ruoli e permessi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Ruolo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Descrizione</w:t>
            </w:r>
          </w:p>
        </w:tc>
      </w:tr>
      <w:tr>
        <w:tc>
          <w:tcPr>
            <w:tcW w:w="0" w:type="auto"/>
          </w:tcPr>
          <w:p>
            <w:r>
              <w:t xml:space="preserve">super_admin</w:t>
            </w:r>
          </w:p>
        </w:tc>
        <w:tc>
          <w:tcPr>
            <w:tcW w:w="0" w:type="auto"/>
          </w:tcPr>
          <w:p>
            <w:r>
              <w:t xml:space="preserve">Amministratore di piattaforma (accesso a tutte le organizzazioni)</w:t>
            </w:r>
          </w:p>
        </w:tc>
      </w:tr>
      <w:tr>
        <w:tc>
          <w:tcPr>
            <w:tcW w:w="0" w:type="auto"/>
          </w:tcPr>
          <w:p>
            <w:r>
              <w:t xml:space="preserve">org_admin</w:t>
            </w:r>
          </w:p>
        </w:tc>
        <w:tc>
          <w:tcPr>
            <w:tcW w:w="0" w:type="auto"/>
          </w:tcPr>
          <w:p>
            <w:r>
              <w:t xml:space="preserve">Amministratore dell'organizzazione</w:t>
            </w:r>
          </w:p>
        </w:tc>
      </w:tr>
      <w:tr>
        <w:tc>
          <w:tcPr>
            <w:tcW w:w="0" w:type="auto"/>
          </w:tcPr>
          <w:p>
            <w:r>
              <w:t xml:space="preserve">compliance_manager</w:t>
            </w:r>
          </w:p>
        </w:tc>
        <w:tc>
          <w:tcPr>
            <w:tcW w:w="0" w:type="auto"/>
          </w:tcPr>
          <w:p>
            <w:r>
              <w:t xml:space="preserve">Responsabile compliance: gestisce assessment, rischi, policy, SGSI</w:t>
            </w:r>
          </w:p>
        </w:tc>
      </w:tr>
      <w:tr>
        <w:tc>
          <w:tcPr>
            <w:tcW w:w="0" w:type="auto"/>
          </w:tcPr>
          <w:p>
            <w:r>
              <w:t xml:space="preserve">board_member</w:t>
            </w:r>
          </w:p>
        </w:tc>
        <w:tc>
          <w:tcPr>
            <w:tcW w:w="0" w:type="auto"/>
          </w:tcPr>
          <w:p>
            <w:r>
              <w:t xml:space="preserve">Organo direttivo: visione e approvazioni</w:t>
            </w:r>
          </w:p>
        </w:tc>
      </w:tr>
      <w:tr>
        <w:tc>
          <w:tcPr>
            <w:tcW w:w="0" w:type="auto"/>
          </w:tcPr>
          <w:p>
            <w:r>
              <w:t xml:space="preserve">auditor</w:t>
            </w:r>
          </w:p>
        </w:tc>
        <w:tc>
          <w:tcPr>
            <w:tcW w:w="0" w:type="auto"/>
          </w:tcPr>
          <w:p>
            <w:r>
              <w:t xml:space="preserve">Revisore: lettura e compilazione evidenze/controlli</w:t>
            </w:r>
          </w:p>
        </w:tc>
      </w:tr>
      <w:tr>
        <w:tc>
          <w:tcPr>
            <w:tcW w:w="0" w:type="auto"/>
          </w:tcPr>
          <w:p>
            <w:r>
              <w:t xml:space="preserve">employee</w:t>
            </w:r>
          </w:p>
        </w:tc>
        <w:tc>
          <w:tcPr>
            <w:tcW w:w="0" w:type="auto"/>
          </w:tcPr>
          <w:p>
            <w:r>
              <w:t xml:space="preserve">Dipendente: formazione, segnalazioni</w:t>
            </w:r>
          </w:p>
        </w:tc>
      </w:tr>
      <w:tr>
        <w:tc>
          <w:tcPr>
            <w:tcW w:w="0" w:type="auto"/>
          </w:tcPr>
          <w:p>
            <w:r>
              <w:t xml:space="preserve">consultant</w:t>
            </w:r>
          </w:p>
        </w:tc>
        <w:tc>
          <w:tcPr>
            <w:tcW w:w="0" w:type="auto"/>
          </w:tcPr>
          <w:p>
            <w:r>
              <w:t xml:space="preserve">Consulente di studio che opera su più organizzazioni clienti</w:t>
            </w:r>
          </w:p>
        </w:tc>
      </w:tr>
    </w:tbl>
    <w:p/>
    <w:p>
      <w:pPr>
        <w:pStyle w:val="Heading2"/>
      </w:pPr>
      <w:r>
        <w:t xml:space="preserve">2.6 Multi-organizzazione, lingua e aiuto</w:t>
      </w:r>
    </w:p>
    <w:p>
      <w:pPr>
        <w:pStyle w:val="ListParagraph"/>
        <w:numPr>
          <w:ilvl w:val="0"/>
          <w:numId w:val="1"/>
        </w:numPr>
      </w:pPr>
      <w:r>
        <w:t xml:space="preserve">Chi appartiene a più organizzazioni (es. consulenti) può </w:t>
      </w:r>
      <w:r>
        <w:rPr>
          <w:b/>
        </w:rPr>
        <w:t xml:space="preserve">cambiare contesto</w:t>
      </w:r>
      <w:r>
        <w:t xml:space="preserve"> dall'intestazione/menu.</w:t>
      </w:r>
    </w:p>
    <w:p>
      <w:pPr>
        <w:pStyle w:val="ListParagraph"/>
        <w:numPr>
          <w:ilvl w:val="0"/>
          <w:numId w:val="1"/>
        </w:numPr>
      </w:pPr>
      <w:r>
        <w:t xml:space="preserve">L'interfaccia è disponibile in </w:t>
      </w:r>
      <w:r>
        <w:rPr>
          <w:b/>
        </w:rPr>
        <w:t xml:space="preserve">Italiano</w:t>
      </w:r>
      <w:r>
        <w:t xml:space="preserve"> ed </w:t>
      </w:r>
      <w:r>
        <w:rPr>
          <w:b/>
        </w:rPr>
        <w:t xml:space="preserve">Inglese</w:t>
      </w:r>
      <w:r>
        <w:t xml:space="preserve"> (selettore lingua).</w:t>
      </w:r>
    </w:p>
    <w:p>
      <w:pPr>
        <w:pStyle w:val="ListParagraph"/>
        <w:numPr>
          <w:ilvl w:val="0"/>
          <w:numId w:val="1"/>
        </w:numPr>
      </w:pPr>
      <w:r>
        <w:t xml:space="preserve">Ogni pagina dispone di </w:t>
      </w:r>
      <w:r>
        <w:rPr>
          <w:b/>
        </w:rPr>
        <w:t xml:space="preserve">Aiuto contestuale</w:t>
      </w:r>
      <w:r>
        <w:t xml:space="preserve"> (icona ?) con guida e riferimenti normativi certi.</w:t>
      </w:r>
    </w:p>
    <w:p>
      <w:r>
        <w:br w:type="page"/>
      </w:r>
    </w:p>
    <w:p>
      <w:pPr>
        <w:pStyle w:val="Heading1"/>
      </w:pPr>
      <w:r>
        <w:t xml:space="preserve">3. Dashboard</w:t>
      </w:r>
    </w:p>
    <w:p>
      <w:r>
        <w:t xml:space="preserve">La Dashboard è la pagina iniziale dopo l'accesso e offre una visione d'insieme dello stato di conformità.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Avanzamento implementazione misure Art. 21 NIS2</w:t>
      </w:r>
      <w:r>
        <w:t xml:space="preserve"> — indicatore complessivo (gauge);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Scadenze imminenti</w:t>
      </w:r>
      <w:r>
        <w:t xml:space="preserve"> — adempimenti e revisioni in arrivo da più moduli;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Attività recenti</w:t>
      </w:r>
      <w:r>
        <w:t xml:space="preserve"> — ultime azioni tracciate;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Heatmap dei rischi</w:t>
      </w:r>
      <w:r>
        <w:t xml:space="preserve"> — distribuzione dei rischi su probabilità × impatto;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Benchmark settoriale</w:t>
      </w:r>
      <w:r>
        <w:t xml:space="preserve"> (anonimizzato) — confronto con il proprio settore;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Compliance Journey</w:t>
      </w:r>
      <w:r>
        <w:t xml:space="preserve"> — percorso guidato che indica i prossimi passi consigliati.</w:t>
      </w:r>
    </w:p>
    <w:p>
      <w:r>
        <w:br w:type="page"/>
      </w:r>
    </w:p>
    <w:p>
      <w:pPr>
        <w:pStyle w:val="Heading1"/>
      </w:pPr>
      <w:r>
        <w:t xml:space="preserve">4. Gap Analysis NIS2 (Art. 21)</w:t>
      </w:r>
    </w:p>
    <w:p>
      <w:r>
        <w:t xml:space="preserve">Analisi di </w:t>
      </w:r>
      <w:r>
        <w:rPr>
          <w:b/>
        </w:rPr>
        <w:t xml:space="preserve">primo livello</w:t>
      </w:r>
      <w:r>
        <w:t xml:space="preserve"> sulle 10 categorie di misure dell'Art. 21.2 NIS2, basata su un questionario di 80 domande (10 categorie), ciascuna collegata anche al controllo ISO 27001 corrispondente.</w:t>
      </w:r>
    </w:p>
    <w:p>
      <w:pPr>
        <w:pStyle w:val="Heading2"/>
      </w:pPr>
      <w:r>
        <w:t xml:space="preserve">4.1 Come si svolge</w:t>
      </w:r>
    </w:p>
    <w:p>
      <w:pPr>
        <w:pStyle w:val="ListParagraph"/>
        <w:numPr>
          <w:ilvl w:val="0"/>
          <w:numId w:val="2"/>
        </w:numPr>
      </w:pPr>
      <w:r>
        <w:t xml:space="preserve">Crea un nuovo assessment: la piattaforma pre-popola tutte le domande.</w:t>
      </w:r>
    </w:p>
    <w:p>
      <w:pPr>
        <w:pStyle w:val="ListParagraph"/>
        <w:numPr>
          <w:ilvl w:val="0"/>
          <w:numId w:val="2"/>
        </w:numPr>
      </w:pPr>
      <w:r>
        <w:t xml:space="preserve">Per ogni domanda indica lo stato: </w:t>
      </w:r>
      <w:r>
        <w:rPr>
          <w:b/>
        </w:rPr>
        <w:t xml:space="preserve">Attuato</w:t>
      </w:r>
      <w:r>
        <w:t xml:space="preserve">, </w:t>
      </w:r>
      <w:r>
        <w:rPr>
          <w:b/>
        </w:rPr>
        <w:t xml:space="preserve">Parziale</w:t>
      </w:r>
      <w:r>
        <w:t xml:space="preserve">, </w:t>
      </w:r>
      <w:r>
        <w:rPr>
          <w:b/>
        </w:rPr>
        <w:t xml:space="preserve">Non attuato</w:t>
      </w:r>
      <w:r>
        <w:t xml:space="preserve">, </w:t>
      </w:r>
      <w:r>
        <w:rPr>
          <w:b/>
        </w:rPr>
        <w:t xml:space="preserve">Non applicabile</w:t>
      </w:r>
      <w:r>
        <w:t xml:space="preserve">. Le risposte si salvano automaticamente.</w:t>
      </w:r>
    </w:p>
    <w:p>
      <w:pPr>
        <w:pStyle w:val="ListParagraph"/>
        <w:numPr>
          <w:ilvl w:val="0"/>
          <w:numId w:val="2"/>
        </w:numPr>
      </w:pPr>
      <w:r>
        <w:t xml:space="preserve">Completa l'assessment per ottenere un </w:t>
      </w:r>
      <w:r>
        <w:rPr>
          <w:b/>
        </w:rPr>
        <w:t xml:space="preserve">punteggio</w:t>
      </w:r>
      <w:r>
        <w:t xml:space="preserve"> per categoria e complessivo.</w:t>
      </w:r>
    </w:p>
    <w:p>
      <w:pPr>
        <w:pStyle w:val="ListParagraph"/>
        <w:numPr>
          <w:ilvl w:val="0"/>
          <w:numId w:val="2"/>
        </w:numPr>
      </w:pPr>
      <w:r>
        <w:t xml:space="preserve">Avvia l'</w:t>
      </w:r>
      <w:r>
        <w:rPr>
          <w:b/>
        </w:rPr>
        <w:t xml:space="preserve">analisi AI</w:t>
      </w:r>
      <w:r>
        <w:t xml:space="preserve"> per ricevere sintesi esecutiva, priorità, quick win e una roadmap di conformità.</w:t>
      </w:r>
    </w:p>
    <w:p>
      <w:pPr>
        <w:pStyle w:val="Note"/>
      </w:pPr>
      <w:r>
        <w:t xml:space="preserve">Le risposte della Gap Analysis NIS2 alimentano automaticamente il Modello SGSI (capitolo 6): il loro stato pre-popola lo Statement of Applicability ISO 27001.</w:t>
      </w:r>
    </w:p>
    <w:p>
      <w:r>
        <w:br w:type="page"/>
      </w:r>
    </w:p>
    <w:p>
      <w:pPr>
        <w:pStyle w:val="Heading1"/>
      </w:pPr>
      <w:r>
        <w:t xml:space="preserve">5. Gap Analysis ACN (Determinazione 164179/2025)</w:t>
      </w:r>
    </w:p>
    <w:p>
      <w:r>
        <w:t xml:space="preserve">Analisi di </w:t>
      </w:r>
      <w:r>
        <w:rPr>
          <w:b/>
        </w:rPr>
        <w:t xml:space="preserve">secondo livello</w:t>
      </w:r>
      <w:r>
        <w:t xml:space="preserve"> sulle misure e i requisiti puntuali stabiliti dall'ACN, articolati secondo il </w:t>
      </w:r>
      <w:r>
        <w:rPr>
          <w:b/>
        </w:rPr>
        <w:t xml:space="preserve">Framework Nazionale</w:t>
      </w:r>
      <w:r>
        <w:t xml:space="preserve"> (funzioni Governo GV, Identificazione ID, Protezione PR, Rilevamento DE, Risposta RS, Ripristino RC).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Classificazione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Perimetro applicabile</w:t>
            </w:r>
          </w:p>
        </w:tc>
      </w:tr>
      <w:tr>
        <w:tc>
          <w:tcPr>
            <w:tcW w:w="0" w:type="auto"/>
          </w:tcPr>
          <w:p>
            <w:r>
              <w:t xml:space="preserve">Soggetto IMPORTANTE (Allegato 1)</w:t>
            </w:r>
          </w:p>
        </w:tc>
        <w:tc>
          <w:tcPr>
            <w:tcW w:w="0" w:type="auto"/>
          </w:tcPr>
          <w:p>
            <w:r>
              <w:t xml:space="preserve">37 misure / 87 requisiti</w:t>
            </w:r>
          </w:p>
        </w:tc>
      </w:tr>
      <w:tr>
        <w:tc>
          <w:tcPr>
            <w:tcW w:w="0" w:type="auto"/>
          </w:tcPr>
          <w:p>
            <w:r>
              <w:t xml:space="preserve">Soggetto ESSENZIALE (Allegato 2)</w:t>
            </w:r>
          </w:p>
        </w:tc>
        <w:tc>
          <w:tcPr>
            <w:tcW w:w="0" w:type="auto"/>
          </w:tcPr>
          <w:p>
            <w:r>
              <w:t xml:space="preserve">43 misure / 116 requisiti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t xml:space="preserve">Il perimetro è filtrato automaticamente in base alla classificazione NIS2 dell'organizzazione;</w:t>
      </w:r>
    </w:p>
    <w:p>
      <w:pPr>
        <w:pStyle w:val="ListParagraph"/>
        <w:numPr>
          <w:ilvl w:val="0"/>
          <w:numId w:val="1"/>
        </w:numPr>
      </w:pPr>
      <w:r>
        <w:t xml:space="preserve">scoring per funzione del Framework Nazionale e punteggio complessivo;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piano d'azione</w:t>
      </w:r>
      <w:r>
        <w:t xml:space="preserve"> dei requisiti non conformi e </w:t>
      </w:r>
      <w:r>
        <w:rPr>
          <w:b/>
        </w:rPr>
        <w:t xml:space="preserve">analisi AI</w:t>
      </w:r>
      <w:r>
        <w:t xml:space="preserve"> ancorata ai 203 requisiti ACN reali (nessun riferimento inventato);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Catalogo requisiti</w:t>
      </w:r>
      <w:r>
        <w:t xml:space="preserve"> consultabile in sola lettura.</w:t>
      </w:r>
    </w:p>
    <w:p>
      <w:r>
        <w:br w:type="page"/>
      </w:r>
    </w:p>
    <w:p>
      <w:pPr>
        <w:pStyle w:val="Heading1"/>
      </w:pPr>
      <w:r>
        <w:t xml:space="preserve">6. Modello Organizzativo SGSI (ISO 27001/27017/27018)</w:t>
      </w:r>
    </w:p>
    <w:p>
      <w:r>
        <w:t xml:space="preserve">Procedura guidata per costruire il </w:t>
      </w:r>
      <w:r>
        <w:rPr>
          <w:b/>
        </w:rPr>
        <w:t xml:space="preserve">Sistema di Gestione della Sicurezza delle Informazioni (SGSI / ISMS)</w:t>
      </w:r>
      <w:r>
        <w:t xml:space="preserve"> secondo </w:t>
      </w:r>
      <w:r>
        <w:rPr>
          <w:b/>
        </w:rPr>
        <w:t xml:space="preserve">ISO/IEC 27001:2022</w:t>
      </w:r>
      <w:r>
        <w:t xml:space="preserve"> (clausole 4–10) e il relativo </w:t>
      </w:r>
      <w:r>
        <w:rPr>
          <w:b/>
        </w:rPr>
        <w:t xml:space="preserve">Statement of Applicability (SoA)</w:t>
      </w:r>
      <w:r>
        <w:t xml:space="preserve"> sui 93 controlli dell'Annex A. È uno strumento di supporto e pre-audit, non una certificazione.</w:t>
      </w:r>
    </w:p>
    <w:p>
      <w:pPr>
        <w:pStyle w:val="Heading2"/>
      </w:pPr>
      <w:r>
        <w:t xml:space="preserve">6.1 Il wizard in 6 passi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Passo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Clausola ISO 27001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Contenuto</w:t>
            </w:r>
          </w:p>
        </w:tc>
      </w:tr>
      <w:tr>
        <w:tc>
          <w:tcPr>
            <w:tcW w:w="0" w:type="auto"/>
          </w:tcPr>
          <w:p>
            <w:r>
              <w:t xml:space="preserve">1. Contesto e Ambito</w:t>
            </w:r>
          </w:p>
        </w:tc>
        <w:tc>
          <w:tcPr>
            <w:tcW w:w="0" w:type="auto"/>
          </w:tcPr>
          <w:p>
            <w:r>
              <w:t xml:space="preserve">cl. 4</w:t>
            </w:r>
          </w:p>
        </w:tc>
        <w:tc>
          <w:tcPr>
            <w:tcW w:w="0" w:type="auto"/>
          </w:tcPr>
          <w:p>
            <w:r>
              <w:t xml:space="preserve">Scope del SGSI, contesto interno/esterno, parti interessate, confini, esclusioni motivate, attivazione estensioni cloud</w:t>
            </w:r>
          </w:p>
        </w:tc>
      </w:tr>
      <w:tr>
        <w:tc>
          <w:tcPr>
            <w:tcW w:w="0" w:type="auto"/>
          </w:tcPr>
          <w:p>
            <w:r>
              <w:t xml:space="preserve">2. Leadership</w:t>
            </w:r>
          </w:p>
        </w:tc>
        <w:tc>
          <w:tcPr>
            <w:tcW w:w="0" w:type="auto"/>
          </w:tcPr>
          <w:p>
            <w:r>
              <w:t xml:space="preserve">cl. 5</w:t>
            </w:r>
          </w:p>
        </w:tc>
        <w:tc>
          <w:tcPr>
            <w:tcW w:w="0" w:type="auto"/>
          </w:tcPr>
          <w:p>
            <w:r>
              <w:t xml:space="preserve">Ruoli e responsabilità con matrice RACI (Responsible, Accountable, Consulted, Informed)</w:t>
            </w:r>
          </w:p>
        </w:tc>
      </w:tr>
      <w:tr>
        <w:tc>
          <w:tcPr>
            <w:tcW w:w="0" w:type="auto"/>
          </w:tcPr>
          <w:p>
            <w:r>
              <w:t xml:space="preserve">3. Risk</w:t>
            </w:r>
          </w:p>
        </w:tc>
        <w:tc>
          <w:tcPr>
            <w:tcW w:w="0" w:type="auto"/>
          </w:tcPr>
          <w:p>
            <w:r>
              <w:t xml:space="preserve">cl. 6</w:t>
            </w:r>
          </w:p>
        </w:tc>
        <w:tc>
          <w:tcPr>
            <w:tcW w:w="0" w:type="auto"/>
          </w:tcPr>
          <w:p>
            <w:r>
              <w:t xml:space="preserve">Metodologia di risk assessment e obiettivi del SGSI (il registro rischi resta nel modulo Rischi)</w:t>
            </w:r>
          </w:p>
        </w:tc>
      </w:tr>
      <w:tr>
        <w:tc>
          <w:tcPr>
            <w:tcW w:w="0" w:type="auto"/>
          </w:tcPr>
          <w:p>
            <w:r>
              <w:t xml:space="preserve">4. Statement of Applicability</w:t>
            </w:r>
          </w:p>
        </w:tc>
        <w:tc>
          <w:tcPr>
            <w:tcW w:w="0" w:type="auto"/>
          </w:tcPr>
          <w:p>
            <w:r>
              <w:t xml:space="preserve">cl. 6.1.3</w:t>
            </w:r>
          </w:p>
        </w:tc>
        <w:tc>
          <w:tcPr>
            <w:tcW w:w="0" w:type="auto"/>
          </w:tcPr>
          <w:p>
            <w:r>
              <w:t xml:space="preserve">Applicabilità, stato e motivazione dei 93 controlli Annex A + estensioni cloud</w:t>
            </w:r>
          </w:p>
        </w:tc>
      </w:tr>
      <w:tr>
        <w:tc>
          <w:tcPr>
            <w:tcW w:w="0" w:type="auto"/>
          </w:tcPr>
          <w:p>
            <w:r>
              <w:t xml:space="preserve">5. Documented Information</w:t>
            </w:r>
          </w:p>
        </w:tc>
        <w:tc>
          <w:tcPr>
            <w:tcW w:w="0" w:type="auto"/>
          </w:tcPr>
          <w:p>
            <w:r>
              <w:t xml:space="preserve">cl. 7–8</w:t>
            </w:r>
          </w:p>
        </w:tc>
        <w:tc>
          <w:tcPr>
            <w:tcW w:w="0" w:type="auto"/>
          </w:tcPr>
          <w:p>
            <w:r>
              <w:t xml:space="preserve">Policy e procedure, con bozze generabili dall'AI</w:t>
            </w:r>
          </w:p>
        </w:tc>
      </w:tr>
      <w:tr>
        <w:tc>
          <w:tcPr>
            <w:tcW w:w="0" w:type="auto"/>
          </w:tcPr>
          <w:p>
            <w:r>
              <w:t xml:space="preserve">6. Monitoraggio e Miglioramento</w:t>
            </w:r>
          </w:p>
        </w:tc>
        <w:tc>
          <w:tcPr>
            <w:tcW w:w="0" w:type="auto"/>
          </w:tcPr>
          <w:p>
            <w:r>
              <w:t xml:space="preserve">cl. 9–10</w:t>
            </w:r>
          </w:p>
        </w:tc>
        <w:tc>
          <w:tcPr>
            <w:tcW w:w="0" w:type="auto"/>
          </w:tcPr>
          <w:p>
            <w:r>
              <w:t xml:space="preserve">Audit interni e non conformità (moduli Audit &amp; Report e NCR/CAPA); checklist di completamento</w:t>
            </w:r>
          </w:p>
        </w:tc>
      </w:tr>
    </w:tbl>
    <w:p/>
    <w:p>
      <w:pPr>
        <w:pStyle w:val="Heading2"/>
      </w:pPr>
      <w:r>
        <w:t xml:space="preserve">6.2 SoA pre-popolato dalla Gap Analysis NIS2</w:t>
      </w:r>
    </w:p>
    <w:p>
      <w:r>
        <w:t xml:space="preserve">Ogni domanda della Gap Analysis NIS2 è collegata a un controllo ISO 27001 (es. A.5.1). Per questo lo Statement of Applicability viene </w:t>
      </w:r>
      <w:r>
        <w:rPr>
          <w:b/>
        </w:rPr>
        <w:t xml:space="preserve">pre-compilato</w:t>
      </w:r>
      <w:r>
        <w:t xml:space="preserve"> a partire dalle risposte NIS2 già date: i controlli con corrispondenza riportano il badge </w:t>
      </w:r>
      <w:r>
        <w:rPr>
          <w:b/>
        </w:rPr>
        <w:t xml:space="preserve">"da NIS2"</w:t>
      </w:r>
      <w:r>
        <w:t xml:space="preserve"> e uno stato proposto (Attuato = 100%, Parziale = 50%, Non attuato = 0%). I controlli non coperti dal NIS2 (es. parte dei controlli fisici A.7) restano da compilare manualmente.</w:t>
      </w:r>
    </w:p>
    <w:p>
      <w:pPr>
        <w:pStyle w:val="Note"/>
      </w:pPr>
      <w:r>
        <w:t xml:space="preserve">Il pulsante "Ri-deriva dal NIS2" aggiunge soltanto i controlli mancanti e non sovrascrive le modifiche manuali già inserite.</w:t>
      </w:r>
    </w:p>
    <w:p>
      <w:pPr>
        <w:pStyle w:val="Heading2"/>
      </w:pPr>
      <w:r>
        <w:t xml:space="preserve">6.3 Estensioni cloud (condizionali)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ISO/IEC 27017:2015</w:t>
      </w:r>
      <w:r>
        <w:t xml:space="preserve"> — attivala se usi servizi cloud pubblici o sei un fornitore cloud: aggiunge 7 controlli cloud (CLD.*) al SoA;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ISO/IEC 27018:2019</w:t>
      </w:r>
      <w:r>
        <w:t xml:space="preserve"> — attivala se tratti dati personali (PII) in cloud pubblico come responsabile: aggiunge i controlli privacy (PII.*), sinergici con il GDPR.</w:t>
      </w:r>
    </w:p>
    <w:p>
      <w:pPr>
        <w:pStyle w:val="ListParagraph"/>
        <w:numPr>
          <w:ilvl w:val="0"/>
          <w:numId w:val="1"/>
        </w:numPr>
      </w:pPr>
      <w:r>
        <w:t xml:space="preserve">Le sezioni cloud/PII compaiono nel SoA </w:t>
      </w:r>
      <w:r>
        <w:rPr>
          <w:b/>
        </w:rPr>
        <w:t xml:space="preserve">solo</w:t>
      </w:r>
      <w:r>
        <w:t xml:space="preserve"> se attivi i relativi flag nel passo 1.</w:t>
      </w:r>
    </w:p>
    <w:p>
      <w:pPr>
        <w:pStyle w:val="Heading2"/>
      </w:pPr>
      <w:r>
        <w:t xml:space="preserve">6.4 Documenti e generazione AI</w:t>
      </w:r>
    </w:p>
    <w:p>
      <w:r>
        <w:t xml:space="preserve">Nel passo 5 puoi generare bozze di policy e procedure (Policy SGSI, Dichiarazione di Applicabilità, controllo accessi, gestione incidenti, continuità, sicurezza fornitori). Le bozze sono prodotte dall'AI con ancoraggio alle fonti certe e richiedono </w:t>
      </w:r>
      <w:r>
        <w:rPr>
          <w:b/>
        </w:rPr>
        <w:t xml:space="preserve">revisione umana</w:t>
      </w:r>
      <w:r>
        <w:t xml:space="preserve"> prima dell'approvazione.</w:t>
      </w:r>
    </w:p>
    <w:p>
      <w:pPr>
        <w:pStyle w:val="Heading2"/>
      </w:pPr>
      <w:r>
        <w:t xml:space="preserve">6.5 Esportazione</w:t>
      </w:r>
    </w:p>
    <w:p>
      <w:r>
        <w:t xml:space="preserve">Il pulsante </w:t>
      </w:r>
      <w:r>
        <w:rPr>
          <w:b/>
        </w:rPr>
        <w:t xml:space="preserve">Esporta SGSI</w:t>
      </w:r>
      <w:r>
        <w:t xml:space="preserve"> apre una versione stampabile del modello (ambito, metodologia, SoA con stato dei controlli), utile come evidenza in vista di un audit.</w:t>
      </w:r>
    </w:p>
    <w:p>
      <w:r>
        <w:br w:type="page"/>
      </w:r>
    </w:p>
    <w:p>
      <w:pPr>
        <w:pStyle w:val="Heading1"/>
      </w:pPr>
      <w:r>
        <w:t xml:space="preserve">7. Gestione dei Rischi</w:t>
      </w:r>
    </w:p>
    <w:p>
      <w:r>
        <w:t xml:space="preserve">Registro dei rischi con matrice </w:t>
      </w:r>
      <w:r>
        <w:rPr>
          <w:b/>
        </w:rPr>
        <w:t xml:space="preserve">Probabilità × Impatto 5×5</w:t>
      </w:r>
      <w:r>
        <w:t xml:space="preserve"> e supporto AI, conforme all'Art. 21 NIS2 e alla metodologia ISO 27005.</w:t>
      </w:r>
    </w:p>
    <w:p>
      <w:pPr>
        <w:pStyle w:val="ListParagraph"/>
        <w:numPr>
          <w:ilvl w:val="0"/>
          <w:numId w:val="1"/>
        </w:numPr>
      </w:pPr>
      <w:r>
        <w:t xml:space="preserve">Creazione del rischio con scala probabilità/impatto (dettagli ISO 27005);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Piani di trattamento</w:t>
      </w:r>
      <w:r>
        <w:t xml:space="preserve"> (mitigare, accettare, trasferire, evitare) e stato di avanzamento;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Suggerimento AI</w:t>
      </w:r>
      <w:r>
        <w:t xml:space="preserve"> dei rischi per settore e asset (dati anonimizzati);</w:t>
      </w:r>
    </w:p>
    <w:p>
      <w:pPr>
        <w:pStyle w:val="ListParagraph"/>
        <w:numPr>
          <w:ilvl w:val="0"/>
          <w:numId w:val="1"/>
        </w:numPr>
      </w:pPr>
      <w:r>
        <w:t xml:space="preserve">Funzioni avanzate: registro quantitativo </w:t>
      </w:r>
      <w:r>
        <w:rPr>
          <w:b/>
        </w:rPr>
        <w:t xml:space="preserve">FAIR</w:t>
      </w:r>
      <w:r>
        <w:t xml:space="preserve"> (calcolo ALE Monte Carlo) e dashboard </w:t>
      </w:r>
      <w:r>
        <w:rPr>
          <w:b/>
        </w:rPr>
        <w:t xml:space="preserve">KRI</w:t>
      </w:r>
      <w:r>
        <w:t xml:space="preserve">.</w:t>
      </w:r>
    </w:p>
    <w:p>
      <w:r>
        <w:br w:type="page"/>
      </w:r>
    </w:p>
    <w:p>
      <w:pPr>
        <w:pStyle w:val="Heading1"/>
      </w:pPr>
      <w:r>
        <w:t xml:space="preserve">8. Gestione degli Incidenti (Art. 23)</w:t>
      </w:r>
    </w:p>
    <w:p>
      <w:r>
        <w:t xml:space="preserve">Gestione del ciclo di vita degli incidenti significativi e degli obblighi di notifica al CSIRT secondo l'Art. 23 e la Determinazione ACN 164179/2025.</w:t>
      </w:r>
    </w:p>
    <w:p>
      <w:pPr>
        <w:pStyle w:val="Heading2"/>
      </w:pPr>
      <w:r>
        <w:t xml:space="preserve">8.1 Tempistiche di notifica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Adempimento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Termine</w:t>
            </w:r>
          </w:p>
        </w:tc>
      </w:tr>
      <w:tr>
        <w:tc>
          <w:tcPr>
            <w:tcW w:w="0" w:type="auto"/>
          </w:tcPr>
          <w:p>
            <w:r>
              <w:t xml:space="preserve">Pre-allarme (early warning)</w:t>
            </w:r>
          </w:p>
        </w:tc>
        <w:tc>
          <w:tcPr>
            <w:tcW w:w="0" w:type="auto"/>
          </w:tcPr>
          <w:p>
            <w:r>
              <w:t xml:space="preserve">entro 24 ore dalla conoscenza</w:t>
            </w:r>
          </w:p>
        </w:tc>
      </w:tr>
      <w:tr>
        <w:tc>
          <w:tcPr>
            <w:tcW w:w="0" w:type="auto"/>
          </w:tcPr>
          <w:p>
            <w:r>
              <w:t xml:space="preserve">Notifica completa</w:t>
            </w:r>
          </w:p>
        </w:tc>
        <w:tc>
          <w:tcPr>
            <w:tcW w:w="0" w:type="auto"/>
          </w:tcPr>
          <w:p>
            <w:r>
              <w:t xml:space="preserve">entro 72 ore dalla conoscenza</w:t>
            </w:r>
          </w:p>
        </w:tc>
      </w:tr>
      <w:tr>
        <w:tc>
          <w:tcPr>
            <w:tcW w:w="0" w:type="auto"/>
          </w:tcPr>
          <w:p>
            <w:r>
              <w:t xml:space="preserve">Relazione finale</w:t>
            </w:r>
          </w:p>
        </w:tc>
        <w:tc>
          <w:tcPr>
            <w:tcW w:w="0" w:type="auto"/>
          </w:tcPr>
          <w:p>
            <w:r>
              <w:t xml:space="preserve">entro 1 mese dalla notifica delle 72 ore</w:t>
            </w:r>
          </w:p>
        </w:tc>
      </w:tr>
    </w:tbl>
    <w:p/>
    <w:p>
      <w:pPr>
        <w:pStyle w:val="Heading2"/>
      </w:pPr>
      <w:r>
        <w:t xml:space="preserve">8.2 Funzioni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Albero decisionale</w:t>
      </w:r>
      <w:r>
        <w:t xml:space="preserve"> per valutare la significatività (utenti ≥ 500, durata &gt; 4h, cross-border, attacco cyber, danni &gt; €100k);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timeline</w:t>
      </w:r>
      <w:r>
        <w:t xml:space="preserve"> dell'incidente e metriche (triage, contenimento, eradicazione, ripristino);</w:t>
      </w:r>
    </w:p>
    <w:p>
      <w:pPr>
        <w:pStyle w:val="ListParagraph"/>
        <w:numPr>
          <w:ilvl w:val="0"/>
          <w:numId w:val="1"/>
        </w:numPr>
      </w:pPr>
      <w:r>
        <w:t xml:space="preserve">invio di </w:t>
      </w:r>
      <w:r>
        <w:rPr>
          <w:b/>
        </w:rPr>
        <w:t xml:space="preserve">early warning, notifica e relazione finale</w:t>
      </w:r>
      <w:r>
        <w:t xml:space="preserve"> al CSIRT;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classificazione AI</w:t>
      </w:r>
      <w:r>
        <w:t xml:space="preserve"> (tipo IS-1..IS-4, severità) con citazione della fonte (Allegato 3 = importanti, Allegato 4 = essenziali);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PIR</w:t>
      </w:r>
      <w:r>
        <w:t xml:space="preserve"> (Post-Incident Review) per l'apprendimento.</w:t>
      </w:r>
    </w:p>
    <w:p>
      <w:r>
        <w:br w:type="page"/>
      </w:r>
    </w:p>
    <w:p>
      <w:pPr>
        <w:pStyle w:val="Heading1"/>
      </w:pPr>
      <w:r>
        <w:t xml:space="preserve">9. Policy e procedure</w:t>
      </w:r>
    </w:p>
    <w:p>
      <w:pPr>
        <w:pStyle w:val="ListParagraph"/>
        <w:numPr>
          <w:ilvl w:val="0"/>
          <w:numId w:val="1"/>
        </w:numPr>
      </w:pPr>
      <w:r>
        <w:t xml:space="preserve">Creazione di policy da </w:t>
      </w:r>
      <w:r>
        <w:rPr>
          <w:b/>
        </w:rPr>
        <w:t xml:space="preserve">template</w:t>
      </w:r>
      <w:r>
        <w:t xml:space="preserve"> o </w:t>
      </w:r>
      <w:r>
        <w:rPr>
          <w:b/>
        </w:rPr>
        <w:t xml:space="preserve">generazione AI</w:t>
      </w:r>
      <w:r>
        <w:t xml:space="preserve"> (bozze marcate da revisionare);</w:t>
      </w:r>
    </w:p>
    <w:p>
      <w:pPr>
        <w:pStyle w:val="ListParagraph"/>
        <w:numPr>
          <w:ilvl w:val="0"/>
          <w:numId w:val="1"/>
        </w:numPr>
      </w:pPr>
      <w:r>
        <w:t xml:space="preserve">flusso di </w:t>
      </w:r>
      <w:r>
        <w:rPr>
          <w:b/>
        </w:rPr>
        <w:t xml:space="preserve">approvazione</w:t>
      </w:r>
      <w:r>
        <w:t xml:space="preserve"> e </w:t>
      </w:r>
      <w:r>
        <w:rPr>
          <w:b/>
        </w:rPr>
        <w:t xml:space="preserve">versioning</w:t>
      </w:r>
      <w:r>
        <w:t xml:space="preserve"> con confronto delle versioni (diff);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attestazione</w:t>
      </w:r>
      <w:r>
        <w:t xml:space="preserve"> di presa visione da parte del personale e relativo tracciamento.</w:t>
      </w:r>
    </w:p>
    <w:p>
      <w:pPr>
        <w:pStyle w:val="Note"/>
      </w:pPr>
      <w:r>
        <w:t xml:space="preserve">Le bozze generate dall'AI riportano un banner di avviso: vanno riviste e approvate da un responsabile prima della pubblicazione.</w:t>
      </w:r>
    </w:p>
    <w:p>
      <w:r>
        <w:br w:type="page"/>
      </w:r>
    </w:p>
    <w:p>
      <w:pPr>
        <w:pStyle w:val="Heading1"/>
      </w:pPr>
      <w:r>
        <w:t xml:space="preserve">10. Supply Chain (fornitori)</w:t>
      </w:r>
    </w:p>
    <w:p>
      <w:r>
        <w:t xml:space="preserve">Gestione della sicurezza della catena di approvvigionamento (Art. 21.2.d).</w:t>
      </w:r>
    </w:p>
    <w:p>
      <w:pPr>
        <w:pStyle w:val="ListParagraph"/>
        <w:numPr>
          <w:ilvl w:val="0"/>
          <w:numId w:val="1"/>
        </w:numPr>
      </w:pPr>
      <w:r>
        <w:t xml:space="preserve">Anagrafica fornitori, categorie e </w:t>
      </w:r>
      <w:r>
        <w:rPr>
          <w:b/>
        </w:rPr>
        <w:t xml:space="preserve">import</w:t>
      </w:r>
      <w:r>
        <w:t xml:space="preserve"> massivo;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questionari</w:t>
      </w:r>
      <w:r>
        <w:t xml:space="preserve"> configurabili (categorie, template, domande) inviati ai fornitori;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portale fornitore</w:t>
      </w:r>
      <w:r>
        <w:t xml:space="preserve"> dedicato con accesso separato via OTP/magic-link (autosalvataggio risposte);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campagne</w:t>
      </w:r>
      <w:r>
        <w:t xml:space="preserve"> di valutazione e cruscotto del rischio fornitori (risk overview).</w:t>
      </w:r>
    </w:p>
    <w:p>
      <w:r>
        <w:br w:type="page"/>
      </w:r>
    </w:p>
    <w:p>
      <w:pPr>
        <w:pStyle w:val="Heading1"/>
      </w:pPr>
      <w:r>
        <w:t xml:space="preserve">11. Formazione</w:t>
      </w:r>
    </w:p>
    <w:p>
      <w:r>
        <w:t xml:space="preserve">Gestione della formazione e dell'igiene informatica (Art. 21.2.g) e degli obblighi formativi per gli organi direttivi (Art. 20).</w:t>
      </w:r>
    </w:p>
    <w:p>
      <w:pPr>
        <w:pStyle w:val="ListParagraph"/>
        <w:numPr>
          <w:ilvl w:val="0"/>
          <w:numId w:val="1"/>
        </w:numPr>
      </w:pPr>
      <w:r>
        <w:t xml:space="preserve">Catalogo </w:t>
      </w:r>
      <w:r>
        <w:rPr>
          <w:b/>
        </w:rPr>
        <w:t xml:space="preserve">corsi</w:t>
      </w:r>
      <w:r>
        <w:t xml:space="preserve"> e </w:t>
      </w:r>
      <w:r>
        <w:rPr>
          <w:b/>
        </w:rPr>
        <w:t xml:space="preserve">assegnazioni</w:t>
      </w:r>
      <w:r>
        <w:t xml:space="preserve"> al personale;</w:t>
      </w:r>
    </w:p>
    <w:p>
      <w:pPr>
        <w:pStyle w:val="ListParagraph"/>
        <w:numPr>
          <w:ilvl w:val="0"/>
          <w:numId w:val="1"/>
        </w:numPr>
      </w:pPr>
      <w:r>
        <w:t xml:space="preserve">monitoraggio della </w:t>
      </w:r>
      <w:r>
        <w:rPr>
          <w:b/>
        </w:rPr>
        <w:t xml:space="preserve">compliance formativa</w:t>
      </w:r>
      <w:r>
        <w:t xml:space="preserve"> e dei corsi obbligatori non completati.</w:t>
      </w:r>
    </w:p>
    <w:p>
      <w:r>
        <w:br w:type="page"/>
      </w:r>
    </w:p>
    <w:p>
      <w:pPr>
        <w:pStyle w:val="Heading1"/>
      </w:pPr>
      <w:r>
        <w:t xml:space="preserve">12. Asset</w:t>
      </w:r>
    </w:p>
    <w:p>
      <w:r>
        <w:t xml:space="preserve">Inventario degli asset informativi e delle dipendenze.</w:t>
      </w:r>
    </w:p>
    <w:p>
      <w:pPr>
        <w:pStyle w:val="ListParagraph"/>
        <w:numPr>
          <w:ilvl w:val="0"/>
          <w:numId w:val="1"/>
        </w:numPr>
      </w:pPr>
      <w:r>
        <w:t xml:space="preserve">Anagrafica asset e </w:t>
      </w:r>
      <w:r>
        <w:rPr>
          <w:b/>
        </w:rPr>
        <w:t xml:space="preserve">import</w:t>
      </w:r>
      <w:r>
        <w:t xml:space="preserve"> (CMDB/cloud);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scoring di rilevanza NIS2</w:t>
      </w:r>
      <w:r>
        <w:t xml:space="preserve"> (0–100, criterio GV.OC-04) e classificazione dei sistemi rilevanti;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mappa delle dipendenze</w:t>
      </w:r>
      <w:r>
        <w:t xml:space="preserve"> tra asset.</w:t>
      </w:r>
    </w:p>
    <w:p>
      <w:r>
        <w:br w:type="page"/>
      </w:r>
    </w:p>
    <w:p>
      <w:pPr>
        <w:pStyle w:val="Heading1"/>
      </w:pPr>
      <w:r>
        <w:t xml:space="preserve">13. Audit &amp; Report</w:t>
      </w:r>
    </w:p>
    <w:p>
      <w:pPr>
        <w:pStyle w:val="ListParagraph"/>
        <w:numPr>
          <w:ilvl w:val="0"/>
          <w:numId w:val="1"/>
        </w:numPr>
      </w:pPr>
      <w:r>
        <w:t xml:space="preserve">Gestione dei </w:t>
      </w:r>
      <w:r>
        <w:rPr>
          <w:b/>
        </w:rPr>
        <w:t xml:space="preserve">controlli di conformità</w:t>
      </w:r>
      <w:r>
        <w:t xml:space="preserve"> (framework NIS2 / ISO 27001) con stato ed evidenze;</w:t>
      </w:r>
    </w:p>
    <w:p>
      <w:pPr>
        <w:pStyle w:val="ListParagraph"/>
        <w:numPr>
          <w:ilvl w:val="0"/>
          <w:numId w:val="1"/>
        </w:numPr>
      </w:pPr>
      <w:r>
        <w:t xml:space="preserve">caricamento </w:t>
      </w:r>
      <w:r>
        <w:rPr>
          <w:b/>
        </w:rPr>
        <w:t xml:space="preserve">evidenze</w:t>
      </w:r>
      <w:r>
        <w:t xml:space="preserve"> e registro dei </w:t>
      </w:r>
      <w:r>
        <w:rPr>
          <w:b/>
        </w:rPr>
        <w:t xml:space="preserve">log di audit</w:t>
      </w:r>
      <w:r>
        <w:t xml:space="preserve">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mappature</w:t>
      </w:r>
      <w:r>
        <w:t xml:space="preserve">: NIS2 ↔ ISO 27001 e NIST CSF 2.0; </w:t>
      </w:r>
      <w:r>
        <w:rPr>
          <w:b/>
        </w:rPr>
        <w:t xml:space="preserve">registro dei sistemi rilevanti</w:t>
      </w:r>
      <w:r>
        <w:t xml:space="preserve"> (GV.OC-04);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report esecutivo</w:t>
      </w:r>
      <w:r>
        <w:t xml:space="preserve"> stampabile ed </w:t>
      </w:r>
      <w:r>
        <w:rPr>
          <w:b/>
        </w:rPr>
        <w:t xml:space="preserve">export CSV</w:t>
      </w:r>
      <w:r>
        <w:t xml:space="preserve">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catena di integrità (hash chain SHA-256)</w:t>
      </w:r>
      <w:r>
        <w:t xml:space="preserve">: ogni voce del log è concatenata alla precedente; verifica integrità ed </w:t>
      </w:r>
      <w:r>
        <w:rPr>
          <w:b/>
        </w:rPr>
        <w:t xml:space="preserve">export certificato</w:t>
      </w:r>
      <w:r>
        <w:t xml:space="preserve">.</w:t>
      </w:r>
    </w:p>
    <w:p>
      <w:r>
        <w:br w:type="page"/>
      </w:r>
    </w:p>
    <w:p>
      <w:pPr>
        <w:pStyle w:val="Heading1"/>
      </w:pPr>
      <w:r>
        <w:t xml:space="preserve">14. Whistleblowing (Art. 32)</w:t>
      </w:r>
    </w:p>
    <w:p>
      <w:r>
        <w:t xml:space="preserve">Canale per le segnalazioni, anche anonime.</w:t>
      </w:r>
    </w:p>
    <w:p>
      <w:pPr>
        <w:pStyle w:val="ListParagraph"/>
        <w:numPr>
          <w:ilvl w:val="0"/>
          <w:numId w:val="1"/>
        </w:numPr>
      </w:pPr>
      <w:r>
        <w:t xml:space="preserve">Invio segnalazione (anche </w:t>
      </w:r>
      <w:r>
        <w:rPr>
          <w:b/>
        </w:rPr>
        <w:t xml:space="preserve">anonima</w:t>
      </w:r>
      <w:r>
        <w:t xml:space="preserve">, con codice di tracciamento);</w:t>
      </w:r>
    </w:p>
    <w:p>
      <w:pPr>
        <w:pStyle w:val="ListParagraph"/>
        <w:numPr>
          <w:ilvl w:val="0"/>
          <w:numId w:val="1"/>
        </w:numPr>
      </w:pPr>
      <w:r>
        <w:t xml:space="preserve">assegnazione, gestione e chiusura della segnalazione;</w:t>
      </w:r>
    </w:p>
    <w:p>
      <w:pPr>
        <w:pStyle w:val="ListParagraph"/>
        <w:numPr>
          <w:ilvl w:val="0"/>
          <w:numId w:val="1"/>
        </w:numPr>
      </w:pPr>
      <w:r>
        <w:t xml:space="preserve">consultazione anonima dello stato tramite codice di tracciamento.</w:t>
      </w:r>
    </w:p>
    <w:p>
      <w:r>
        <w:br w:type="page"/>
      </w:r>
    </w:p>
    <w:p>
      <w:pPr>
        <w:pStyle w:val="Heading1"/>
      </w:pPr>
      <w:r>
        <w:t xml:space="preserve">15. Aggiornamenti normativi</w:t>
      </w:r>
    </w:p>
    <w:p>
      <w:pPr>
        <w:pStyle w:val="ListParagraph"/>
        <w:numPr>
          <w:ilvl w:val="0"/>
          <w:numId w:val="1"/>
        </w:numPr>
      </w:pPr>
      <w:r>
        <w:t xml:space="preserve">Feed degli aggiornamenti </w:t>
      </w:r>
      <w:r>
        <w:rPr>
          <w:b/>
        </w:rPr>
        <w:t xml:space="preserve">NIS2 / ACN / DORA</w:t>
      </w:r>
      <w:r>
        <w:t xml:space="preserve">;</w:t>
      </w:r>
    </w:p>
    <w:p>
      <w:pPr>
        <w:pStyle w:val="ListParagraph"/>
        <w:numPr>
          <w:ilvl w:val="0"/>
          <w:numId w:val="1"/>
        </w:numPr>
      </w:pPr>
      <w:r>
        <w:t xml:space="preserve">presa visione (</w:t>
      </w:r>
      <w:r>
        <w:rPr>
          <w:b/>
        </w:rPr>
        <w:t xml:space="preserve">ACK</w:t>
      </w:r>
      <w:r>
        <w:t xml:space="preserve">) tracciata per ciascun aggiornamento;</w:t>
      </w:r>
    </w:p>
    <w:p>
      <w:pPr>
        <w:pStyle w:val="ListParagraph"/>
        <w:numPr>
          <w:ilvl w:val="0"/>
          <w:numId w:val="1"/>
        </w:numPr>
      </w:pPr>
      <w:r>
        <w:t xml:space="preserve">elenco aggiornamenti </w:t>
      </w:r>
      <w:r>
        <w:rPr>
          <w:b/>
        </w:rPr>
        <w:t xml:space="preserve">in attesa</w:t>
      </w:r>
      <w:r>
        <w:t xml:space="preserve"> di presa visione e statistiche.</w:t>
      </w:r>
    </w:p>
    <w:p>
      <w:r>
        <w:br w:type="page"/>
      </w:r>
    </w:p>
    <w:p>
      <w:pPr>
        <w:pStyle w:val="Heading1"/>
      </w:pPr>
      <w:r>
        <w:t xml:space="preserve">16. Knowledge Base e Assistente AI</w:t>
      </w:r>
    </w:p>
    <w:p>
      <w:pPr>
        <w:pStyle w:val="Heading2"/>
      </w:pPr>
      <w:r>
        <w:t xml:space="preserve">16.1 Knowledge Base (RAG)</w:t>
      </w:r>
    </w:p>
    <w:p>
      <w:r>
        <w:t xml:space="preserve">La Knowledge Base alimenta le risposte dell'AI tramite ricerca semantica (RAG). Prevede tre livelli di visibilità: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Livello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Chi possiede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Chi vede</w:t>
            </w:r>
          </w:p>
        </w:tc>
      </w:tr>
      <w:tr>
        <w:tc>
          <w:tcPr>
            <w:tcW w:w="0" w:type="auto"/>
          </w:tcPr>
          <w:p>
            <w:r>
              <w:t xml:space="preserve">SYSTEM</w:t>
            </w:r>
          </w:p>
        </w:tc>
        <w:tc>
          <w:tcPr>
            <w:tcW w:w="0" w:type="auto"/>
          </w:tcPr>
          <w:p>
            <w:r>
              <w:t xml:space="preserve">Fornitore della piattaforma</w:t>
            </w:r>
          </w:p>
        </w:tc>
        <w:tc>
          <w:tcPr>
            <w:tcW w:w="0" w:type="auto"/>
          </w:tcPr>
          <w:p>
            <w:r>
              <w:t xml:space="preserve">Tutti gli utenti</w:t>
            </w:r>
          </w:p>
        </w:tc>
      </w:tr>
      <w:tr>
        <w:tc>
          <w:tcPr>
            <w:tcW w:w="0" w:type="auto"/>
          </w:tcPr>
          <w:p>
            <w:r>
              <w:t xml:space="preserve">FIRM</w:t>
            </w:r>
          </w:p>
        </w:tc>
        <w:tc>
          <w:tcPr>
            <w:tcW w:w="0" w:type="auto"/>
          </w:tcPr>
          <w:p>
            <w:r>
              <w:t xml:space="preserve">Studio di consulenza</w:t>
            </w:r>
          </w:p>
        </w:tc>
        <w:tc>
          <w:tcPr>
            <w:tcW w:w="0" w:type="auto"/>
          </w:tcPr>
          <w:p>
            <w:r>
              <w:t xml:space="preserve">Collaboratori dello studio + organizzazioni condivise</w:t>
            </w:r>
          </w:p>
        </w:tc>
      </w:tr>
      <w:tr>
        <w:tc>
          <w:tcPr>
            <w:tcW w:w="0" w:type="auto"/>
          </w:tcPr>
          <w:p>
            <w:r>
              <w:t xml:space="preserve">ORG</w:t>
            </w:r>
          </w:p>
        </w:tc>
        <w:tc>
          <w:tcPr>
            <w:tcW w:w="0" w:type="auto"/>
          </w:tcPr>
          <w:p>
            <w:r>
              <w:t xml:space="preserve">Singola organizzazione</w:t>
            </w:r>
          </w:p>
        </w:tc>
        <w:tc>
          <w:tcPr>
            <w:tcW w:w="0" w:type="auto"/>
          </w:tcPr>
          <w:p>
            <w:r>
              <w:t xml:space="preserve">Solo gli utenti di quella organizzazione</w:t>
            </w:r>
          </w:p>
        </w:tc>
      </w:tr>
    </w:tbl>
    <w:p/>
    <w:p>
      <w:pPr>
        <w:pStyle w:val="ListParagraph"/>
        <w:numPr>
          <w:ilvl w:val="0"/>
          <w:numId w:val="1"/>
        </w:numPr>
      </w:pPr>
      <w:r>
        <w:t xml:space="preserve">Caricamento documenti (testo) con scelta dello scope;</w:t>
      </w:r>
    </w:p>
    <w:p>
      <w:pPr>
        <w:pStyle w:val="ListParagraph"/>
        <w:numPr>
          <w:ilvl w:val="0"/>
          <w:numId w:val="1"/>
        </w:numPr>
      </w:pPr>
      <w:r>
        <w:t xml:space="preserve">ricerca semantica e cancellazione documenti;</w:t>
      </w:r>
    </w:p>
    <w:p>
      <w:pPr>
        <w:pStyle w:val="ListParagraph"/>
        <w:numPr>
          <w:ilvl w:val="0"/>
          <w:numId w:val="1"/>
        </w:numPr>
      </w:pPr>
      <w:r>
        <w:t xml:space="preserve">le fonti normative certe (NIS2, D.Lgs. 138/2024, Determinazioni ACN) e i cataloghi </w:t>
      </w:r>
      <w:r>
        <w:rPr>
          <w:b/>
        </w:rPr>
        <w:t xml:space="preserve">ISO 27001/27002/27017/27018</w:t>
      </w:r>
      <w:r>
        <w:t xml:space="preserve"> sono già indicizzati a livello SYSTEM.</w:t>
      </w:r>
    </w:p>
    <w:p>
      <w:pPr>
        <w:pStyle w:val="Heading2"/>
      </w:pPr>
      <w:r>
        <w:t xml:space="preserve">16.2 Assistente AI</w:t>
      </w:r>
    </w:p>
    <w:p>
      <w:r>
        <w:t xml:space="preserve">L'assistente risponde alle domande pescando dalla Knowledge Base e </w:t>
      </w:r>
      <w:r>
        <w:rPr>
          <w:b/>
        </w:rPr>
        <w:t xml:space="preserve">cita sempre la fonte normativa pertinente</w:t>
      </w:r>
      <w:r>
        <w:t xml:space="preserve">, senza inventare riferimenti. Le risposte sono di orientamento operativo e non sostituiscono il parere legale.</w:t>
      </w:r>
    </w:p>
    <w:p>
      <w:r>
        <w:br w:type="page"/>
      </w:r>
    </w:p>
    <w:p>
      <w:pPr>
        <w:pStyle w:val="Heading1"/>
      </w:pPr>
      <w:r>
        <w:t xml:space="preserve">17. Segnalazioni (feedback)</w:t>
      </w:r>
    </w:p>
    <w:p>
      <w:r>
        <w:t xml:space="preserve">Strumento integrato per segnalare bug o suggerimenti di UX. Le segnalazioni vengono classificate dall'AI e, una volta risolte, l'esito può essere comunicato ai membri dell'organizzazione. Ogni segnalazione cattura automaticamente la </w:t>
      </w:r>
      <w:r>
        <w:rPr>
          <w:b/>
        </w:rPr>
        <w:t xml:space="preserve">versione del prodotto</w:t>
      </w:r>
      <w:r>
        <w:t xml:space="preserve"> e la </w:t>
      </w:r>
      <w:r>
        <w:rPr>
          <w:b/>
        </w:rPr>
        <w:t xml:space="preserve">superficie</w:t>
      </w:r>
      <w:r>
        <w:t xml:space="preserve"> (web/mobile) per facilitare la diagnosi.</w:t>
      </w:r>
    </w:p>
    <w:p>
      <w:r>
        <w:br w:type="page"/>
      </w:r>
    </w:p>
    <w:p>
      <w:pPr>
        <w:pStyle w:val="Heading1"/>
      </w:pPr>
      <w:r>
        <w:t xml:space="preserve">18. Impostazioni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Organizzazione</w:t>
      </w:r>
      <w:r>
        <w:t xml:space="preserve"> — dati, classificazione NIS2;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Profilo</w:t>
      </w:r>
      <w:r>
        <w:t xml:space="preserve"> — dati personali, cambio password, preferenze;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Membri</w:t>
      </w:r>
      <w:r>
        <w:t xml:space="preserve"> — invito e gestione degli utenti e dei ruoli;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Sessioni</w:t>
      </w:r>
      <w:r>
        <w:t xml:space="preserve"> — gestione dei dispositivi collegati (multi-device) e revoca;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Branding</w:t>
      </w:r>
      <w:r>
        <w:t xml:space="preserve"> (white-label per studi) — personalizzazione per lo studio di consulenza.</w:t>
      </w:r>
    </w:p>
    <w:p>
      <w:r>
        <w:br w:type="page"/>
      </w:r>
    </w:p>
    <w:p>
      <w:pPr>
        <w:pStyle w:val="Heading1"/>
      </w:pPr>
      <w:r>
        <w:t xml:space="preserve">19. Amministrazione</w:t>
      </w:r>
    </w:p>
    <w:p>
      <w:r>
        <w:t xml:space="preserve">Area riservata al ruolo </w:t>
      </w:r>
      <w:r>
        <w:rPr>
          <w:b/>
        </w:rPr>
        <w:t xml:space="preserve">super_admin</w:t>
      </w:r>
      <w:r>
        <w:t xml:space="preserve">: gestione delle organizzazioni, degli utenti e statistiche di piattaforma.</w:t>
      </w:r>
    </w:p>
    <w:p>
      <w:r>
        <w:br w:type="page"/>
      </w:r>
    </w:p>
    <w:p>
      <w:pPr>
        <w:pStyle w:val="Heading1"/>
      </w:pPr>
      <w:r>
        <w:t xml:space="preserve">20. Integrazioni e API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Services API</w:t>
      </w:r>
      <w:r>
        <w:t xml:space="preserve"> (autenticazione tramite API Key con scope) per integrazioni esterne, es. GRC/231: gap-analysis, misure, incidenti, formazione, scadenze e snapshot completo;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Webhook</w:t>
      </w:r>
      <w:r>
        <w:t xml:space="preserve"> con firma HMAC-SHA256 e retry, per notifiche verso sistemi terzi;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Licenze/inviti B2B</w:t>
      </w:r>
      <w:r>
        <w:t xml:space="preserve"> per provisioning di organizzazioni da parte di partner;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SSO</w:t>
      </w:r>
      <w:r>
        <w:t xml:space="preserve"> centralizzato della suite AgileHub (sincronizzazione password).</w:t>
      </w:r>
    </w:p>
    <w:p>
      <w:r>
        <w:br w:type="page"/>
      </w:r>
    </w:p>
    <w:p>
      <w:pPr>
        <w:pStyle w:val="Heading1"/>
      </w:pPr>
      <w:r>
        <w:t xml:space="preserve">21. Glossario</w:t>
      </w:r>
    </w:p>
    <w:tbl>
      <w:tblPr>
        <w:tblW w:w="5000" w:type="pct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firstRow="1"/>
      </w:tblPr>
      <w:tr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Termine</w:t>
            </w:r>
          </w:p>
        </w:tc>
        <w:tc>
          <w:tcPr>
            <w:tcW w:w="0" w:type="auto"/>
            <w:shd w:val="clear" w:fill="1F3864"/>
          </w:tcPr>
          <w:p>
            <w:r>
              <w:rPr>
                <w:b/>
                <w:color w:val="FFFFFF"/>
              </w:rPr>
              <w:t xml:space="preserve">Significato</w:t>
            </w:r>
          </w:p>
        </w:tc>
      </w:tr>
      <w:tr>
        <w:tc>
          <w:tcPr>
            <w:tcW w:w="0" w:type="auto"/>
          </w:tcPr>
          <w:p>
            <w:r>
              <w:t xml:space="preserve">NIS2</w:t>
            </w:r>
          </w:p>
        </w:tc>
        <w:tc>
          <w:tcPr>
            <w:tcW w:w="0" w:type="auto"/>
          </w:tcPr>
          <w:p>
            <w:r>
              <w:t xml:space="preserve">Direttiva (UE) 2022/2555 sulla cibersicurezza</w:t>
            </w:r>
          </w:p>
        </w:tc>
      </w:tr>
      <w:tr>
        <w:tc>
          <w:tcPr>
            <w:tcW w:w="0" w:type="auto"/>
          </w:tcPr>
          <w:p>
            <w:r>
              <w:t xml:space="preserve">ACN</w:t>
            </w:r>
          </w:p>
        </w:tc>
        <w:tc>
          <w:tcPr>
            <w:tcW w:w="0" w:type="auto"/>
          </w:tcPr>
          <w:p>
            <w:r>
              <w:t xml:space="preserve">Agenzia per la Cybersicurezza Nazionale</w:t>
            </w:r>
          </w:p>
        </w:tc>
      </w:tr>
      <w:tr>
        <w:tc>
          <w:tcPr>
            <w:tcW w:w="0" w:type="auto"/>
          </w:tcPr>
          <w:p>
            <w:r>
              <w:t xml:space="preserve">SGSI / ISMS</w:t>
            </w:r>
          </w:p>
        </w:tc>
        <w:tc>
          <w:tcPr>
            <w:tcW w:w="0" w:type="auto"/>
          </w:tcPr>
          <w:p>
            <w:r>
              <w:t xml:space="preserve">Sistema di Gestione della Sicurezza delle Informazioni (ISO 27001)</w:t>
            </w:r>
          </w:p>
        </w:tc>
      </w:tr>
      <w:tr>
        <w:tc>
          <w:tcPr>
            <w:tcW w:w="0" w:type="auto"/>
          </w:tcPr>
          <w:p>
            <w:r>
              <w:t xml:space="preserve">SoA</w:t>
            </w:r>
          </w:p>
        </w:tc>
        <w:tc>
          <w:tcPr>
            <w:tcW w:w="0" w:type="auto"/>
          </w:tcPr>
          <w:p>
            <w:r>
              <w:t xml:space="preserve">Statement of Applicability: dichiarazione di applicabilità dei controlli</w:t>
            </w:r>
          </w:p>
        </w:tc>
      </w:tr>
      <w:tr>
        <w:tc>
          <w:tcPr>
            <w:tcW w:w="0" w:type="auto"/>
          </w:tcPr>
          <w:p>
            <w:r>
              <w:t xml:space="preserve">Annex A</w:t>
            </w:r>
          </w:p>
        </w:tc>
        <w:tc>
          <w:tcPr>
            <w:tcW w:w="0" w:type="auto"/>
          </w:tcPr>
          <w:p>
            <w:r>
              <w:t xml:space="preserve">Elenco dei 93 controlli di sicurezza di ISO/IEC 27001:2022</w:t>
            </w:r>
          </w:p>
        </w:tc>
      </w:tr>
      <w:tr>
        <w:tc>
          <w:tcPr>
            <w:tcW w:w="0" w:type="auto"/>
          </w:tcPr>
          <w:p>
            <w:r>
              <w:t xml:space="preserve">RACI</w:t>
            </w:r>
          </w:p>
        </w:tc>
        <w:tc>
          <w:tcPr>
            <w:tcW w:w="0" w:type="auto"/>
          </w:tcPr>
          <w:p>
            <w:r>
              <w:t xml:space="preserve">Matrice di responsabilità: Responsible, Accountable, Consulted, Informed</w:t>
            </w:r>
          </w:p>
        </w:tc>
      </w:tr>
      <w:tr>
        <w:tc>
          <w:tcPr>
            <w:tcW w:w="0" w:type="auto"/>
          </w:tcPr>
          <w:p>
            <w:r>
              <w:t xml:space="preserve">CSIRT</w:t>
            </w:r>
          </w:p>
        </w:tc>
        <w:tc>
          <w:tcPr>
            <w:tcW w:w="0" w:type="auto"/>
          </w:tcPr>
          <w:p>
            <w:r>
              <w:t xml:space="preserve">Computer Security Incident Response Team (autorità di notifica)</w:t>
            </w:r>
          </w:p>
        </w:tc>
      </w:tr>
      <w:tr>
        <w:tc>
          <w:tcPr>
            <w:tcW w:w="0" w:type="auto"/>
          </w:tcPr>
          <w:p>
            <w:r>
              <w:t xml:space="preserve">PIR</w:t>
            </w:r>
          </w:p>
        </w:tc>
        <w:tc>
          <w:tcPr>
            <w:tcW w:w="0" w:type="auto"/>
          </w:tcPr>
          <w:p>
            <w:r>
              <w:t xml:space="preserve">Post-Incident Review (revisione post-incidente)</w:t>
            </w:r>
          </w:p>
        </w:tc>
      </w:tr>
      <w:tr>
        <w:tc>
          <w:tcPr>
            <w:tcW w:w="0" w:type="auto"/>
          </w:tcPr>
          <w:p>
            <w:r>
              <w:t xml:space="preserve">RAG</w:t>
            </w:r>
          </w:p>
        </w:tc>
        <w:tc>
          <w:tcPr>
            <w:tcW w:w="0" w:type="auto"/>
          </w:tcPr>
          <w:p>
            <w:r>
              <w:t xml:space="preserve">Retrieval-Augmented Generation: AI con recupero da knowledge base</w:t>
            </w:r>
          </w:p>
        </w:tc>
      </w:tr>
      <w:tr>
        <w:tc>
          <w:tcPr>
            <w:tcW w:w="0" w:type="auto"/>
          </w:tcPr>
          <w:p>
            <w:r>
              <w:t xml:space="preserve">PII</w:t>
            </w:r>
          </w:p>
        </w:tc>
        <w:tc>
          <w:tcPr>
            <w:tcW w:w="0" w:type="auto"/>
          </w:tcPr>
          <w:p>
            <w:r>
              <w:t xml:space="preserve">Personally Identifiable Information (dati personali)</w:t>
            </w:r>
          </w:p>
        </w:tc>
      </w:tr>
      <w:tr>
        <w:tc>
          <w:tcPr>
            <w:tcW w:w="0" w:type="auto"/>
          </w:tcPr>
          <w:p>
            <w:r>
              <w:t xml:space="preserve">Soggetto essenziale / importante</w:t>
            </w:r>
          </w:p>
        </w:tc>
        <w:tc>
          <w:tcPr>
            <w:tcW w:w="0" w:type="auto"/>
          </w:tcPr>
          <w:p>
            <w:r>
              <w:t xml:space="preserve">Categorie NIS2 che determinano gli obblighi applicabili</w:t>
            </w:r>
          </w:p>
        </w:tc>
      </w:tr>
    </w:tbl>
    <w:p/>
    <w:p>
      <w:r>
        <w:br w:type="page"/>
      </w:r>
    </w:p>
    <w:p>
      <w:pPr>
        <w:pStyle w:val="Heading1"/>
      </w:pPr>
      <w:r>
        <w:t xml:space="preserve">22. Riferimenti normativi</w:t>
      </w:r>
    </w:p>
    <w:p>
      <w:pPr>
        <w:pStyle w:val="ListParagraph"/>
        <w:numPr>
          <w:ilvl w:val="0"/>
          <w:numId w:val="1"/>
        </w:numPr>
      </w:pPr>
      <w:r>
        <w:t xml:space="preserve">Direttiva (UE) 2022/2555 (NIS2);</w:t>
      </w:r>
    </w:p>
    <w:p>
      <w:pPr>
        <w:pStyle w:val="ListParagraph"/>
        <w:numPr>
          <w:ilvl w:val="0"/>
          <w:numId w:val="1"/>
        </w:numPr>
      </w:pPr>
      <w:r>
        <w:t xml:space="preserve">Direttiva (UE) 2022/2557 (CER);</w:t>
      </w:r>
    </w:p>
    <w:p>
      <w:pPr>
        <w:pStyle w:val="ListParagraph"/>
        <w:numPr>
          <w:ilvl w:val="0"/>
          <w:numId w:val="1"/>
        </w:numPr>
      </w:pPr>
      <w:r>
        <w:t xml:space="preserve">D.Lgs. 4 settembre 2024, n. 138;</w:t>
      </w:r>
    </w:p>
    <w:p>
      <w:pPr>
        <w:pStyle w:val="ListParagraph"/>
        <w:numPr>
          <w:ilvl w:val="0"/>
          <w:numId w:val="1"/>
        </w:numPr>
      </w:pPr>
      <w:r>
        <w:t xml:space="preserve">Determinazione ACN n. 164179 del 14/04/2025 (misure di base, classificazione e notifica incidenti, Allegati);</w:t>
      </w:r>
    </w:p>
    <w:p>
      <w:pPr>
        <w:pStyle w:val="ListParagraph"/>
        <w:numPr>
          <w:ilvl w:val="0"/>
          <w:numId w:val="1"/>
        </w:numPr>
      </w:pPr>
      <w:r>
        <w:t xml:space="preserve">Determinazione ACN n. 333017/2025 (piattaforma ACN, designazione rappresentanti);</w:t>
      </w:r>
    </w:p>
    <w:p>
      <w:pPr>
        <w:pStyle w:val="ListParagraph"/>
        <w:numPr>
          <w:ilvl w:val="0"/>
          <w:numId w:val="1"/>
        </w:numPr>
      </w:pPr>
      <w:r>
        <w:t xml:space="preserve">ISO/IEC 27001:2022, 27002:2022, 27017:2015, 27018:2019 (best practice, non vincolanti).</w:t>
      </w:r>
    </w:p>
    <w:p>
      <w:pPr>
        <w:pStyle w:val="Note"/>
      </w:pPr>
      <w:r>
        <w:t xml:space="preserve">Questo manuale descrive le funzionalità della piattaforma NIS2 Agile alla versione 1.14.0. Le schermate e le voci di menu possono variare con gli aggiornamenti. Per l'aiuto contestuale usa l'icona ? presente in ogni pagina.</w:t>
      </w:r>
    </w:p>
    <w:sectPr>
      <w:pgSz w:w="11906" w:h="16838"/>
      <w:pgMar w:top="1417" w:right="1417" w:bottom="1417" w:left="1417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lvlJc w:val="left"/>
      <w:pPr>
        <w:ind w:left="567" w:hanging="284"/>
      </w:pPr>
      <w:rPr>
        <w:rFonts w:ascii="Symbol" w:hAnsi="Symbol" w:hint="default"/>
      </w:rPr>
    </w:lvl>
  </w:abstractNum>
  <w:abstractNum w:abstractNumId="1">
    <w:lvl w:ilvl="0">
      <w:start w:val="1"/>
      <w:numFmt w:val="decimal"/>
      <w:lvlText w:val="%1."/>
      <w:lvlJc w:val="left"/>
      <w:pPr>
        <w:ind w:left="567" w:hanging="284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pPr>
      <w:spacing w:after="140" w:line="276" w:lineRule="auto"/>
    </w:pPr>
  </w:style>
  <w:style w:type="paragraph" w:styleId="Title">
    <w:name w:val="Title"/>
    <w:pPr>
      <w:spacing w:before="2400" w:after="120"/>
    </w:pPr>
    <w:rPr>
      <w:b/>
      <w:color w:val="1F3864"/>
      <w:sz w:val="72"/>
    </w:rPr>
  </w:style>
  <w:style w:type="paragraph" w:styleId="Subtitle">
    <w:name w:val="Subtitle"/>
    <w:pPr>
      <w:spacing w:after="80"/>
    </w:pPr>
    <w:rPr>
      <w:color w:val="2E74B5"/>
      <w:sz w:val="36"/>
    </w:rPr>
  </w:style>
  <w:style w:type="paragraph" w:styleId="Meta">
    <w:name w:val="Meta"/>
    <w:rPr>
      <w:color w:val="808080"/>
      <w:sz w:val="20"/>
    </w:rPr>
  </w:style>
  <w:style w:type="paragraph" w:styleId="Heading1">
    <w:name w:val="heading 1"/>
    <w:basedOn w:val="Normal"/>
    <w:next w:val="Normal"/>
    <w:pPr>
      <w:keepNext/>
      <w:spacing w:before="320" w:after="120"/>
      <w:outlineLvl w:val="0"/>
    </w:pPr>
    <w:rPr>
      <w:b/>
      <w:color w:val="1F3864"/>
      <w:sz w:val="34"/>
    </w:rPr>
  </w:style>
  <w:style w:type="paragraph" w:styleId="Heading2">
    <w:name w:val="heading 2"/>
    <w:basedOn w:val="Normal"/>
    <w:next w:val="Normal"/>
    <w:pPr>
      <w:keepNext/>
      <w:spacing w:before="240" w:after="80"/>
      <w:outlineLvl w:val="1"/>
    </w:pPr>
    <w:rPr>
      <w:b/>
      <w:color w:val="2E74B5"/>
      <w:sz w:val="28"/>
    </w:rPr>
  </w:style>
  <w:style w:type="paragraph" w:styleId="Heading3">
    <w:name w:val="heading 3"/>
    <w:basedOn w:val="Normal"/>
    <w:next w:val="Normal"/>
    <w:pPr>
      <w:keepNext/>
      <w:spacing w:before="200" w:after="60"/>
      <w:outlineLvl w:val="2"/>
    </w:pPr>
    <w:rPr>
      <w:b/>
      <w:color w:val="404040"/>
      <w:sz w:val="24"/>
    </w:rPr>
  </w:style>
  <w:style w:type="paragraph" w:styleId="ListParagraph">
    <w:name w:val="List Paragraph"/>
    <w:basedOn w:val="Normal"/>
    <w:pPr>
      <w:ind w:left="567"/>
      <w:spacing w:after="60"/>
    </w:pPr>
  </w:style>
  <w:style w:type="paragraph" w:styleId="Note">
    <w:name w:val="Note"/>
    <w:basedOn w:val="Normal"/>
    <w:pPr>
      <w:pBdr>
        <w:left w:val="single" w:sz="18" w:space="6" w:color="F59E0B"/>
      </w:pBdr>
      <w:ind w:left="227"/>
      <w:spacing w:before="120" w:after="120"/>
      <w:shd w:val="clear" w:fill="FFFBEB"/>
    </w:pPr>
    <w:rPr>
      <w:i/>
      <w:color w:val="7A5B0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Manuale d'uso NIS2 Agile</dc:title>
  <dc:creator>NIS2 Agile</dc:creator>
  <cp:lastModifiedBy>NIS2 Agile</cp:lastModifiedBy>
  <dcterms:created xsi:type="dcterms:W3CDTF">2026-06-11T00:00:00Z</dcterms:created>
  <dcterms:modified xsi:type="dcterms:W3CDTF">2026-06-11T00:00:00Z</dcterms:modified>
</cp:coreProperties>
</file>